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42E88DCD" w14:textId="62D89EC3" w:rsidR="00FC1898" w:rsidRDefault="006B690C" w:rsidP="00A77191">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A77191" w:rsidRPr="00A77191">
        <w:t>1-47.2890</w:t>
      </w:r>
      <w:r w:rsidR="00C93802" w:rsidRPr="00A77191">
        <w:t>/1</w:t>
      </w:r>
    </w:p>
    <w:p w14:paraId="3E95F05C" w14:textId="61EDB79D" w:rsidR="00A91140" w:rsidRDefault="00A91140" w:rsidP="00A77191">
      <w:pPr>
        <w:pStyle w:val="Pealkiri2"/>
        <w:numPr>
          <w:ilvl w:val="0"/>
          <w:numId w:val="7"/>
        </w:numPr>
        <w:ind w:left="0" w:firstLine="0"/>
        <w:jc w:val="both"/>
      </w:pPr>
      <w:r w:rsidRPr="00512A64">
        <w:t xml:space="preserve">Hanke nimetus ja viitenumber </w:t>
      </w:r>
    </w:p>
    <w:p w14:paraId="77A9DC66" w14:textId="77777777" w:rsidR="00754F45" w:rsidRPr="00754F45" w:rsidRDefault="00754F45" w:rsidP="00754F45"/>
    <w:p w14:paraId="527CB89B" w14:textId="026ED1BF" w:rsidR="001D1A24" w:rsidRPr="001D1A24" w:rsidRDefault="00A91140" w:rsidP="009C42B8">
      <w:pPr>
        <w:pStyle w:val="Loendilik"/>
        <w:numPr>
          <w:ilvl w:val="1"/>
          <w:numId w:val="7"/>
        </w:numPr>
        <w:ind w:left="0" w:firstLine="0"/>
        <w:jc w:val="both"/>
        <w:rPr>
          <w:b/>
          <w:iCs/>
        </w:rPr>
      </w:pPr>
      <w:r w:rsidRPr="005C27AA">
        <w:t xml:space="preserve">Hanke nimetus: </w:t>
      </w:r>
      <w:r w:rsidR="00E24F93">
        <w:rPr>
          <w:b/>
        </w:rPr>
        <w:t>Nõmme-Mustamäe MKA treppide</w:t>
      </w:r>
      <w:r w:rsidR="009C42B8" w:rsidRPr="009C42B8">
        <w:rPr>
          <w:b/>
        </w:rPr>
        <w:t xml:space="preserve"> rekonstrueerimistöödele omanikujärelevalve teenuse tellimine</w:t>
      </w:r>
    </w:p>
    <w:p w14:paraId="15C2660F" w14:textId="5D2F40DA"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A77191">
        <w:t>268324</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49764496" w14:textId="77777777" w:rsidR="00A93D25" w:rsidRDefault="000C4D34" w:rsidP="009C42B8">
      <w:pPr>
        <w:pStyle w:val="Loendilik"/>
        <w:numPr>
          <w:ilvl w:val="1"/>
          <w:numId w:val="7"/>
        </w:numPr>
        <w:ind w:left="0" w:firstLine="0"/>
      </w:pPr>
      <w:r w:rsidRPr="005C27AA">
        <w:t xml:space="preserve">Hankemenetluse liik: </w:t>
      </w:r>
      <w:r w:rsidR="005609AD" w:rsidRPr="00B83053">
        <w:t>väikehange</w:t>
      </w:r>
    </w:p>
    <w:p w14:paraId="2A0F63F2" w14:textId="5919AFB3" w:rsidR="00A93D25" w:rsidRDefault="00A93D25" w:rsidP="009C42B8">
      <w:pPr>
        <w:pStyle w:val="Loendilik"/>
        <w:numPr>
          <w:ilvl w:val="1"/>
          <w:numId w:val="7"/>
        </w:numPr>
        <w:ind w:left="0" w:firstLine="0"/>
      </w:pPr>
      <w:r>
        <w:t xml:space="preserve">Rahastaja/meede: </w:t>
      </w:r>
    </w:p>
    <w:p w14:paraId="0B170294" w14:textId="77777777" w:rsidR="009C42B8" w:rsidRDefault="00A93D25" w:rsidP="009C42B8">
      <w:pPr>
        <w:tabs>
          <w:tab w:val="left" w:pos="426"/>
        </w:tabs>
        <w:jc w:val="both"/>
      </w:pPr>
      <w:r>
        <w:t xml:space="preserve">1.5.1. </w:t>
      </w:r>
      <w:r w:rsidR="009C42B8">
        <w:t>ÜF meede „Kaitsealuste liikide ja elupaikade säilitamine ning taastamine“ tegevus 8.1.4 „Kaitsealade külastuskorralduse infrastruktuuri rekonstrueerimine“</w:t>
      </w:r>
    </w:p>
    <w:p w14:paraId="54485FBA" w14:textId="0CCAAE5A" w:rsidR="00594AB4" w:rsidRPr="005C27AA" w:rsidRDefault="009C42B8" w:rsidP="009C42B8">
      <w:pPr>
        <w:tabs>
          <w:tab w:val="left" w:pos="426"/>
        </w:tabs>
        <w:jc w:val="both"/>
      </w:pPr>
      <w:r>
        <w:t>1.5.2. ÜF projekti nr. ja nimetus: „RMK külastustaristu rekonstrueerimine“  nr  2014-2020.8.01.004.02.15-0079</w:t>
      </w: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10B6DE4A" w:rsidR="005609AD" w:rsidRPr="001A0743"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6E01DEAA" w14:textId="4748829D" w:rsidR="00971E94" w:rsidRDefault="00A91140" w:rsidP="00AB36CC">
      <w:pPr>
        <w:pStyle w:val="Pealkiri2"/>
        <w:numPr>
          <w:ilvl w:val="0"/>
          <w:numId w:val="1"/>
        </w:numPr>
        <w:spacing w:before="0" w:after="120"/>
        <w:ind w:left="0" w:firstLine="0"/>
      </w:pPr>
      <w:r w:rsidRPr="00DE7737">
        <w:lastRenderedPageBreak/>
        <w:t xml:space="preserve">Hanke </w:t>
      </w:r>
      <w:r w:rsidR="00644276" w:rsidRPr="00DE7737">
        <w:t xml:space="preserve">tehniline </w:t>
      </w:r>
      <w:r w:rsidRPr="00DE7737">
        <w:t>kirjeldus</w:t>
      </w:r>
      <w:r w:rsidR="00B26656">
        <w:t>, nõuded töö teostamiseks</w:t>
      </w:r>
    </w:p>
    <w:p w14:paraId="43C793E8" w14:textId="77777777" w:rsidR="00AB36CC" w:rsidRPr="00AB36CC" w:rsidRDefault="00AB36CC" w:rsidP="00AB36CC"/>
    <w:p w14:paraId="4F4FC7C2" w14:textId="7D3DCD07" w:rsidR="008C5770" w:rsidRDefault="008C5770" w:rsidP="00AB36CC">
      <w:pPr>
        <w:pStyle w:val="Loendilik"/>
        <w:numPr>
          <w:ilvl w:val="1"/>
          <w:numId w:val="1"/>
        </w:numPr>
        <w:autoSpaceDE w:val="0"/>
        <w:autoSpaceDN w:val="0"/>
        <w:adjustRightInd w:val="0"/>
        <w:spacing w:after="120"/>
        <w:ind w:left="0" w:firstLine="0"/>
        <w:contextualSpacing w:val="0"/>
        <w:jc w:val="both"/>
      </w:pPr>
      <w:r>
        <w:t>Käesoleva hankega tellitakse rekonstrueerimistöödele omanikujärelevalve teenust.</w:t>
      </w:r>
    </w:p>
    <w:p w14:paraId="5F603B4E" w14:textId="0594D580" w:rsidR="005933A0" w:rsidRDefault="00770656" w:rsidP="00AB36CC">
      <w:pPr>
        <w:spacing w:after="120"/>
        <w:jc w:val="both"/>
      </w:pPr>
      <w:r w:rsidRPr="00567E06">
        <w:t xml:space="preserve">4.1.1. </w:t>
      </w:r>
      <w:r w:rsidR="00E24F93">
        <w:t>Nõmme-Mustamäe MKA treppide</w:t>
      </w:r>
      <w:r w:rsidR="001A0743" w:rsidRPr="001A0743">
        <w:t xml:space="preserve"> rekonstrueerimistöödele omanikujärelevalve </w:t>
      </w:r>
      <w:r w:rsidR="00AB36CC">
        <w:t xml:space="preserve">(OJV) </w:t>
      </w:r>
      <w:r w:rsidR="001A0743" w:rsidRPr="001A0743">
        <w:t>teenuse tellimine.</w:t>
      </w:r>
    </w:p>
    <w:p w14:paraId="5FF80915" w14:textId="77777777" w:rsidR="00E24F93" w:rsidRDefault="00E24F93" w:rsidP="00AB36CC">
      <w:pPr>
        <w:spacing w:after="120"/>
        <w:jc w:val="both"/>
      </w:pPr>
      <w:r>
        <w:t xml:space="preserve">4.1.1.1. </w:t>
      </w:r>
      <w:r w:rsidRPr="00811253">
        <w:rPr>
          <w:b/>
        </w:rPr>
        <w:t xml:space="preserve">J. </w:t>
      </w:r>
      <w:proofErr w:type="spellStart"/>
      <w:r w:rsidRPr="00811253">
        <w:rPr>
          <w:b/>
        </w:rPr>
        <w:t>Sütiste</w:t>
      </w:r>
      <w:proofErr w:type="spellEnd"/>
      <w:r w:rsidRPr="00811253">
        <w:rPr>
          <w:b/>
        </w:rPr>
        <w:t xml:space="preserve"> tee 23 (Tallinn, Harjumaa) trepi</w:t>
      </w:r>
      <w:r>
        <w:t xml:space="preserve"> rekonstrueerimistööde teostamine ehk osade asendamine samaväärsega. </w:t>
      </w:r>
      <w:r w:rsidRPr="00156B98">
        <w:t>Tööde kirjeldus ja mahud on ära toodud  Selektor Projekt OÜ koostatud tööprojektis nr PH2</w:t>
      </w:r>
      <w:r>
        <w:t>022</w:t>
      </w:r>
      <w:r w:rsidRPr="00156B98">
        <w:t>.</w:t>
      </w:r>
    </w:p>
    <w:p w14:paraId="5811C02B" w14:textId="6A581AA8" w:rsidR="00E24F93" w:rsidRDefault="00E24F93" w:rsidP="00AB36CC">
      <w:pPr>
        <w:spacing w:after="120"/>
        <w:jc w:val="both"/>
      </w:pPr>
      <w:r>
        <w:t xml:space="preserve">4.1.1.2. </w:t>
      </w:r>
      <w:r w:rsidRPr="001A51AD">
        <w:rPr>
          <w:b/>
        </w:rPr>
        <w:t>Üliõpilaste tee 3 (Tallinn, Harjumaa) trepi</w:t>
      </w:r>
      <w:r>
        <w:t xml:space="preserve"> rekonstrueerimistööde teostamine ehk osade asendamine samaväärsega. </w:t>
      </w:r>
      <w:r w:rsidRPr="00156B98">
        <w:t>Tööde kirjeldus ja mahud on ära toodud  Selektor Projekt OÜ koostatud tööprojektis nr PH2</w:t>
      </w:r>
      <w:r>
        <w:t>022</w:t>
      </w:r>
      <w:r w:rsidRPr="00156B98">
        <w:t>.</w:t>
      </w:r>
    </w:p>
    <w:p w14:paraId="39B80F07" w14:textId="01B186FA" w:rsidR="005933A0" w:rsidRPr="005933A0" w:rsidRDefault="00E24F93" w:rsidP="00AB36CC">
      <w:pPr>
        <w:spacing w:after="120"/>
        <w:jc w:val="both"/>
      </w:pPr>
      <w:r>
        <w:t xml:space="preserve">4.2. </w:t>
      </w:r>
      <w:r w:rsidR="005933A0" w:rsidRPr="005933A0">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7513149A" w:rsidR="00027A72" w:rsidRPr="00093B6B" w:rsidRDefault="00027A72" w:rsidP="00AB36CC">
      <w:pPr>
        <w:pStyle w:val="Loendilik"/>
        <w:numPr>
          <w:ilvl w:val="1"/>
          <w:numId w:val="12"/>
        </w:numPr>
        <w:spacing w:after="120"/>
        <w:ind w:left="0" w:firstLine="0"/>
        <w:contextualSpacing w:val="0"/>
        <w:jc w:val="both"/>
        <w:rPr>
          <w:b/>
        </w:rPr>
      </w:pPr>
      <w:r w:rsidRPr="00093B6B">
        <w:t xml:space="preserve">OJV teenuse osutamisel </w:t>
      </w:r>
      <w:r w:rsidRPr="00093B6B">
        <w:rPr>
          <w:b/>
        </w:rPr>
        <w:t>EI OLE</w:t>
      </w:r>
      <w:r w:rsidRPr="00093B6B">
        <w:t xml:space="preserve"> hankelepingu täitmisel nõutav OJV teenuse </w:t>
      </w:r>
      <w:proofErr w:type="spellStart"/>
      <w:r w:rsidRPr="00093B6B">
        <w:t>osutaja</w:t>
      </w:r>
      <w:proofErr w:type="spellEnd"/>
      <w:r w:rsidRPr="00093B6B">
        <w:t xml:space="preserve"> igapäevane ehitusobjektil kohalolek ehitustööde teostamise ajal. Nõutav kohaloleku sagedus on esitatud hankedokumendis p</w:t>
      </w:r>
      <w:r w:rsidRPr="00971E94">
        <w:t>. 4.</w:t>
      </w:r>
      <w:r w:rsidR="00C56C2B" w:rsidRPr="00971E94">
        <w:t>7</w:t>
      </w:r>
    </w:p>
    <w:p w14:paraId="5A1E5B76" w14:textId="51F72C76" w:rsidR="001A0743" w:rsidRPr="00AB36CC" w:rsidRDefault="001A0743" w:rsidP="00AB36CC">
      <w:pPr>
        <w:pStyle w:val="Loendilik"/>
        <w:numPr>
          <w:ilvl w:val="1"/>
          <w:numId w:val="12"/>
        </w:numPr>
        <w:spacing w:after="120"/>
        <w:ind w:left="0" w:firstLine="0"/>
        <w:contextualSpacing w:val="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AB36CC">
      <w:pPr>
        <w:pStyle w:val="Loendilik"/>
        <w:numPr>
          <w:ilvl w:val="1"/>
          <w:numId w:val="12"/>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487773F6" w14:textId="5A820113" w:rsidR="00AB36CC" w:rsidRDefault="00C56C2B" w:rsidP="00AB36CC">
      <w:pPr>
        <w:pStyle w:val="Loendilik"/>
        <w:numPr>
          <w:ilvl w:val="1"/>
          <w:numId w:val="12"/>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48700EEB" w14:textId="0DF91F1F" w:rsidR="00AB36CC" w:rsidRDefault="00AB36CC" w:rsidP="00AB36CC">
      <w:pPr>
        <w:pStyle w:val="Loendilik"/>
        <w:spacing w:after="120"/>
        <w:ind w:left="0"/>
        <w:contextualSpacing w:val="0"/>
        <w:jc w:val="both"/>
      </w:pPr>
    </w:p>
    <w:p w14:paraId="292BA242" w14:textId="09FC8816" w:rsidR="00AB36CC" w:rsidRDefault="00AB36CC" w:rsidP="00AB36CC">
      <w:pPr>
        <w:pStyle w:val="Loendilik"/>
        <w:spacing w:after="120"/>
        <w:ind w:left="0"/>
        <w:contextualSpacing w:val="0"/>
        <w:jc w:val="both"/>
      </w:pPr>
    </w:p>
    <w:p w14:paraId="37FD59C2" w14:textId="0D692FF0" w:rsidR="00AB36CC" w:rsidRDefault="00AB36CC" w:rsidP="00AB36CC">
      <w:pPr>
        <w:pStyle w:val="Loendilik"/>
        <w:spacing w:after="120"/>
        <w:ind w:left="0"/>
        <w:contextualSpacing w:val="0"/>
        <w:jc w:val="both"/>
      </w:pPr>
    </w:p>
    <w:p w14:paraId="1760B01B" w14:textId="77777777" w:rsidR="00AB36CC" w:rsidRDefault="00AB36CC" w:rsidP="00AB36CC">
      <w:pPr>
        <w:pStyle w:val="Loendilik"/>
        <w:spacing w:after="120"/>
        <w:ind w:left="0"/>
        <w:contextualSpacing w:val="0"/>
        <w:jc w:val="both"/>
      </w:pPr>
    </w:p>
    <w:p w14:paraId="5ACDCAA9" w14:textId="1762AA2D" w:rsidR="00FC1898" w:rsidRDefault="005B2676" w:rsidP="00E24F93">
      <w:pPr>
        <w:pStyle w:val="Loendilik"/>
        <w:numPr>
          <w:ilvl w:val="1"/>
          <w:numId w:val="12"/>
        </w:numPr>
        <w:spacing w:after="120"/>
        <w:ind w:left="0" w:firstLine="0"/>
        <w:contextualSpacing w:val="0"/>
        <w:jc w:val="both"/>
      </w:pPr>
      <w:r>
        <w:lastRenderedPageBreak/>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729"/>
        <w:gridCol w:w="1417"/>
      </w:tblGrid>
      <w:tr w:rsidR="005B2676" w14:paraId="0718833C" w14:textId="77777777" w:rsidTr="00AB36CC">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8"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729"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417"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AB36CC">
        <w:trPr>
          <w:trHeight w:val="800"/>
        </w:trPr>
        <w:tc>
          <w:tcPr>
            <w:tcW w:w="2410" w:type="dxa"/>
            <w:shd w:val="clear" w:color="auto" w:fill="auto"/>
            <w:vAlign w:val="center"/>
          </w:tcPr>
          <w:p w14:paraId="526F3F6E" w14:textId="494345CB" w:rsidR="005B2676" w:rsidRPr="00397516" w:rsidRDefault="00A951E3" w:rsidP="00FC1898">
            <w:pPr>
              <w:spacing w:after="120"/>
              <w:jc w:val="center"/>
              <w:rPr>
                <w:sz w:val="22"/>
                <w:szCs w:val="22"/>
                <w:highlight w:val="yellow"/>
              </w:rPr>
            </w:pPr>
            <w:r>
              <w:rPr>
                <w:sz w:val="22"/>
                <w:szCs w:val="22"/>
              </w:rPr>
              <w:t>Nõmme-Mustamäe MKA treppide</w:t>
            </w:r>
            <w:r w:rsidR="001A0743" w:rsidRPr="001A0743">
              <w:rPr>
                <w:sz w:val="22"/>
                <w:szCs w:val="22"/>
              </w:rPr>
              <w:t xml:space="preserve"> rekonstrueerimistöödele omanikujärelevalve teenuse tellimine</w:t>
            </w:r>
          </w:p>
        </w:tc>
        <w:tc>
          <w:tcPr>
            <w:tcW w:w="1418" w:type="dxa"/>
            <w:vAlign w:val="center"/>
          </w:tcPr>
          <w:p w14:paraId="10E1465D" w14:textId="22440EC0" w:rsidR="005B2676" w:rsidRPr="00397516" w:rsidRDefault="00A951E3" w:rsidP="00FC1898">
            <w:pPr>
              <w:spacing w:after="120"/>
              <w:jc w:val="center"/>
              <w:rPr>
                <w:sz w:val="22"/>
                <w:szCs w:val="22"/>
                <w:highlight w:val="yellow"/>
              </w:rPr>
            </w:pPr>
            <w:r>
              <w:rPr>
                <w:sz w:val="22"/>
                <w:szCs w:val="22"/>
              </w:rPr>
              <w:t>Nõmme-Mustamäe MKA trepid</w:t>
            </w:r>
          </w:p>
        </w:tc>
        <w:tc>
          <w:tcPr>
            <w:tcW w:w="1417" w:type="dxa"/>
            <w:tcBorders>
              <w:right w:val="single" w:sz="4" w:space="0" w:color="auto"/>
            </w:tcBorders>
            <w:shd w:val="clear" w:color="auto" w:fill="auto"/>
            <w:vAlign w:val="center"/>
          </w:tcPr>
          <w:p w14:paraId="2D552ABD" w14:textId="19753034" w:rsidR="005B2676" w:rsidRPr="00325C7A" w:rsidRDefault="006006AA" w:rsidP="00FC1898">
            <w:pPr>
              <w:spacing w:after="120"/>
              <w:jc w:val="center"/>
              <w:rPr>
                <w:sz w:val="22"/>
                <w:szCs w:val="22"/>
              </w:rPr>
            </w:pPr>
            <w:r>
              <w:rPr>
                <w:sz w:val="22"/>
                <w:szCs w:val="22"/>
              </w:rPr>
              <w:t>30.11.2023</w:t>
            </w:r>
          </w:p>
        </w:tc>
        <w:tc>
          <w:tcPr>
            <w:tcW w:w="1390" w:type="dxa"/>
            <w:tcBorders>
              <w:left w:val="single" w:sz="4" w:space="0" w:color="auto"/>
            </w:tcBorders>
            <w:shd w:val="clear" w:color="auto" w:fill="auto"/>
            <w:vAlign w:val="center"/>
          </w:tcPr>
          <w:p w14:paraId="37555D0B" w14:textId="75179956" w:rsidR="005B2676" w:rsidRPr="00325C7A" w:rsidRDefault="00A73C30" w:rsidP="00FC1898">
            <w:pPr>
              <w:spacing w:after="120"/>
              <w:jc w:val="center"/>
              <w:rPr>
                <w:sz w:val="22"/>
                <w:szCs w:val="22"/>
              </w:rPr>
            </w:pPr>
            <w:r>
              <w:rPr>
                <w:sz w:val="22"/>
                <w:szCs w:val="22"/>
              </w:rPr>
              <w:t>3</w:t>
            </w:r>
            <w:bookmarkStart w:id="0" w:name="_GoBack"/>
            <w:bookmarkEnd w:id="0"/>
            <w:r w:rsidR="001A0743" w:rsidRPr="00325C7A">
              <w:rPr>
                <w:sz w:val="22"/>
                <w:szCs w:val="22"/>
              </w:rPr>
              <w:t xml:space="preserve"> kuud või vastavalt tegelikule ehitustööde kestvusele</w:t>
            </w:r>
          </w:p>
        </w:tc>
        <w:tc>
          <w:tcPr>
            <w:tcW w:w="1729"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417" w:type="dxa"/>
            <w:shd w:val="clear" w:color="auto" w:fill="auto"/>
            <w:vAlign w:val="center"/>
          </w:tcPr>
          <w:p w14:paraId="6DE66ED9" w14:textId="013D63FD" w:rsidR="005B2676" w:rsidRPr="00FC0AEE" w:rsidRDefault="00C61711" w:rsidP="00FC1898">
            <w:pPr>
              <w:spacing w:after="120"/>
              <w:jc w:val="center"/>
              <w:rPr>
                <w:sz w:val="22"/>
                <w:szCs w:val="22"/>
                <w:highlight w:val="yellow"/>
              </w:rPr>
            </w:pPr>
            <w:r w:rsidRPr="00156B98">
              <w:t>Selektor Projekt OÜ</w:t>
            </w:r>
            <w:r>
              <w:t>,</w:t>
            </w:r>
            <w:r w:rsidR="001A0743" w:rsidRPr="001A0743">
              <w:rPr>
                <w:sz w:val="22"/>
                <w:szCs w:val="22"/>
              </w:rPr>
              <w:t xml:space="preserve"> </w:t>
            </w:r>
            <w:r>
              <w:t>tööprojekt</w:t>
            </w:r>
            <w:r w:rsidRPr="00156B98">
              <w:t xml:space="preserve"> nr PH2</w:t>
            </w:r>
            <w:r>
              <w:t>022</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E24F93">
      <w:pPr>
        <w:pStyle w:val="Loendilik"/>
        <w:numPr>
          <w:ilvl w:val="1"/>
          <w:numId w:val="12"/>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w:t>
      </w:r>
      <w:proofErr w:type="spellStart"/>
      <w:r w:rsidRPr="00FC1898">
        <w:t>vaegtööde</w:t>
      </w:r>
      <w:proofErr w:type="spellEnd"/>
      <w:r w:rsidRPr="00FC1898">
        <w:t xml:space="preserve">) lõpliku </w:t>
      </w:r>
      <w:r w:rsidRPr="005B2676">
        <w:t xml:space="preserve">vastuvõtmise, täitedokumentatsiooni kontrolli ja lõpparuande koostamise eest.  </w:t>
      </w:r>
    </w:p>
    <w:p w14:paraId="024F454A" w14:textId="12926DE8" w:rsidR="005B2676" w:rsidRDefault="005B2676" w:rsidP="00E24F93">
      <w:pPr>
        <w:pStyle w:val="Loendilik"/>
        <w:numPr>
          <w:ilvl w:val="1"/>
          <w:numId w:val="12"/>
        </w:numPr>
        <w:spacing w:after="120"/>
        <w:ind w:left="0" w:firstLine="0"/>
        <w:contextualSpacing w:val="0"/>
        <w:jc w:val="both"/>
      </w:pPr>
      <w:r w:rsidRPr="00E019EE">
        <w:t xml:space="preserve">Juhul, kui ehitustööd pikenevad OJV teenuse </w:t>
      </w:r>
      <w:proofErr w:type="spellStart"/>
      <w:r w:rsidRPr="00E019EE">
        <w:t>osutajast</w:t>
      </w:r>
      <w:proofErr w:type="spellEnd"/>
      <w:r w:rsidRPr="00E019EE">
        <w:t xml:space="preserve"> sõltumata, jätkab käsundisaaja teenuse osutamist ning käsundiandja maksab selle eest tasu samadel alustel.</w:t>
      </w:r>
    </w:p>
    <w:p w14:paraId="7B386145" w14:textId="77777777" w:rsidR="005B2676" w:rsidRPr="004F4FE9" w:rsidRDefault="005B2676" w:rsidP="00E24F93">
      <w:pPr>
        <w:pStyle w:val="Loendilik"/>
        <w:numPr>
          <w:ilvl w:val="1"/>
          <w:numId w:val="12"/>
        </w:numPr>
        <w:spacing w:after="120"/>
        <w:ind w:left="0" w:firstLine="0"/>
        <w:contextualSpacing w:val="0"/>
        <w:jc w:val="both"/>
      </w:pPr>
      <w:r w:rsidRPr="004F4FE9">
        <w:t xml:space="preserve">Ehitushanke dokumentatsiooniga saab tutvuda ja dokumente alla laadida riigihangete registrist: </w:t>
      </w:r>
    </w:p>
    <w:p w14:paraId="2EB232C6" w14:textId="658359CF" w:rsidR="005B2676" w:rsidRDefault="005B2676" w:rsidP="00367DFF">
      <w:pPr>
        <w:pStyle w:val="Loendilik"/>
        <w:spacing w:after="120"/>
        <w:ind w:left="0"/>
        <w:contextualSpacing w:val="0"/>
        <w:jc w:val="both"/>
      </w:pPr>
      <w:r>
        <w:t xml:space="preserve">Hanke nimetus: </w:t>
      </w:r>
      <w:r w:rsidR="00367DFF">
        <w:rPr>
          <w:i/>
        </w:rPr>
        <w:t>Nõmme-Mustamäe MKA treppide</w:t>
      </w:r>
      <w:r w:rsidR="001A0743" w:rsidRPr="001A0743">
        <w:rPr>
          <w:i/>
        </w:rPr>
        <w:t xml:space="preserve"> rekonstrueer</w:t>
      </w:r>
      <w:r w:rsidR="00367DFF">
        <w:rPr>
          <w:i/>
        </w:rPr>
        <w:t>imistööd (viitenumber 266699</w:t>
      </w:r>
      <w:r w:rsidR="001A0743" w:rsidRPr="001A0743">
        <w:rPr>
          <w:i/>
        </w:rPr>
        <w:t xml:space="preserve">), </w:t>
      </w:r>
      <w:hyperlink r:id="rId9" w:anchor="/procurement/6096460/general-info" w:history="1">
        <w:r w:rsidR="00367DFF" w:rsidRPr="00CF550A">
          <w:rPr>
            <w:rStyle w:val="Hperlink"/>
          </w:rPr>
          <w:t>https://riigihanked.riik.ee/rhr-web/#/procurement/6096460/general-info</w:t>
        </w:r>
      </w:hyperlink>
      <w:r w:rsidR="00367DFF">
        <w:t xml:space="preserve"> </w:t>
      </w:r>
    </w:p>
    <w:p w14:paraId="0CFB85F3" w14:textId="77777777" w:rsidR="00367DFF" w:rsidRDefault="00367DFF" w:rsidP="00367DFF">
      <w:pPr>
        <w:pStyle w:val="Loendilik"/>
        <w:spacing w:after="120"/>
        <w:ind w:left="0"/>
        <w:contextualSpacing w:val="0"/>
        <w:jc w:val="both"/>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C4704F">
      <w:pPr>
        <w:pStyle w:val="Loendilik"/>
        <w:numPr>
          <w:ilvl w:val="1"/>
          <w:numId w:val="3"/>
        </w:numPr>
        <w:spacing w:after="120"/>
        <w:ind w:left="0" w:firstLine="0"/>
        <w:contextualSpacing w:val="0"/>
        <w:jc w:val="both"/>
      </w:pPr>
      <w:r w:rsidRPr="00B24EB4">
        <w:t>Pakkuja esitab eRHR-i keskkonnas täidetava pakkumuse maksumuse vormi.</w:t>
      </w:r>
    </w:p>
    <w:p w14:paraId="76F7E57D" w14:textId="77777777" w:rsidR="00C4704F" w:rsidRDefault="00C4704F" w:rsidP="00C4704F">
      <w:pPr>
        <w:pStyle w:val="Loendilik"/>
        <w:numPr>
          <w:ilvl w:val="1"/>
          <w:numId w:val="3"/>
        </w:numPr>
        <w:spacing w:after="120"/>
        <w:ind w:left="0" w:firstLine="0"/>
        <w:contextualSpacing w:val="0"/>
        <w:jc w:val="both"/>
      </w:pPr>
      <w:r w:rsidRPr="00C4704F">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2C19DB1E" w:rsidR="005B4D04" w:rsidRDefault="005B4D04" w:rsidP="00C4704F">
      <w:pPr>
        <w:pStyle w:val="Loendilik"/>
        <w:numPr>
          <w:ilvl w:val="1"/>
          <w:numId w:val="3"/>
        </w:numPr>
        <w:spacing w:after="120"/>
        <w:ind w:left="0" w:firstLine="0"/>
        <w:contextualSpacing w:val="0"/>
        <w:jc w:val="both"/>
      </w:pPr>
      <w:r w:rsidRPr="00691194">
        <w:t>Kui võrdselt</w:t>
      </w:r>
      <w:r>
        <w:t xml:space="preserve"> odavama maksumusega (suurima punktisummaga) pakkumuse on e</w:t>
      </w:r>
      <w:r w:rsidR="00BA7718">
        <w:t>sitanud rohkem kui üks pakkuja,</w:t>
      </w:r>
      <w:r>
        <w:t xml:space="preserve"> siis heidetakse pakkujate vahel liisku. Liisuheitmise koht ja ajakava </w:t>
      </w:r>
      <w:r>
        <w:lastRenderedPageBreak/>
        <w:t>teatatakse eelnevalt pakkujatele ning nende volitatud esindajatel on õigus viibida liisuheitmise juures.</w:t>
      </w:r>
    </w:p>
    <w:p w14:paraId="37CE5514" w14:textId="1F74F7C3" w:rsidR="005B4D04" w:rsidRDefault="00C3146A" w:rsidP="00BD1CDE">
      <w:pPr>
        <w:pStyle w:val="Loendilik"/>
        <w:numPr>
          <w:ilvl w:val="1"/>
          <w:numId w:val="3"/>
        </w:numPr>
        <w:spacing w:after="120"/>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2F162DF" w14:textId="77777777" w:rsidR="00BD1CDE" w:rsidRPr="00BD1CDE" w:rsidRDefault="00BD1CDE" w:rsidP="008B095E">
      <w:pPr>
        <w:pStyle w:val="Loendilik"/>
        <w:numPr>
          <w:ilvl w:val="1"/>
          <w:numId w:val="3"/>
        </w:numPr>
        <w:spacing w:after="120"/>
        <w:ind w:left="0" w:firstLine="0"/>
        <w:contextualSpacing w:val="0"/>
        <w:jc w:val="both"/>
      </w:pPr>
      <w:r w:rsidRPr="00BD1CDE">
        <w:t xml:space="preserve">Hankija juhindub pakkumuste vastavuse kontrollimisel RHS § 114 sätestatust. </w:t>
      </w:r>
      <w:proofErr w:type="spellStart"/>
      <w:r w:rsidRPr="00BD1CDE">
        <w:t>Hankijal</w:t>
      </w:r>
      <w:proofErr w:type="spellEnd"/>
      <w:r w:rsidRPr="00BD1CDE">
        <w:t xml:space="preserve"> on õigus kohaldada RHS § 115 lg 1, lg 8, lg. 9. </w:t>
      </w:r>
    </w:p>
    <w:p w14:paraId="6551BDF1" w14:textId="1D5C1CD6" w:rsidR="00BD1CDE" w:rsidRDefault="00BD1CDE" w:rsidP="008B095E">
      <w:pPr>
        <w:pStyle w:val="Loendilik"/>
        <w:numPr>
          <w:ilvl w:val="1"/>
          <w:numId w:val="3"/>
        </w:numPr>
        <w:spacing w:after="120"/>
        <w:ind w:left="0" w:firstLine="0"/>
        <w:jc w:val="both"/>
      </w:pPr>
      <w:r w:rsidRPr="00BD1CDE">
        <w:t xml:space="preserve">Edukaks tunnistatud pakkumuse tagasivõtmise korral on </w:t>
      </w:r>
      <w:proofErr w:type="spellStart"/>
      <w:r w:rsidRPr="00BD1CDE">
        <w:t>hankijal</w:t>
      </w:r>
      <w:proofErr w:type="spellEnd"/>
      <w:r w:rsidRPr="00BD1CDE">
        <w:t xml:space="preserve"> õigus kohaldada RHS § 119. </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C4704F">
      <w:pPr>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C4704F">
      <w:pPr>
        <w:pStyle w:val="Loendilik"/>
        <w:tabs>
          <w:tab w:val="left" w:pos="0"/>
        </w:tabs>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C4704F">
      <w:pPr>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C4704F">
      <w:pPr>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lastRenderedPageBreak/>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0"/>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3673A120" w:rsidR="00325C7A" w:rsidRDefault="00325C7A">
    <w:pPr>
      <w:pStyle w:val="Pis"/>
      <w:rPr>
        <w:b/>
      </w:rPr>
    </w:pPr>
    <w:r>
      <w:rPr>
        <w:b/>
      </w:rPr>
      <w:t>HANKEDOKUMENDID</w:t>
    </w:r>
    <w:r>
      <w:rPr>
        <w:b/>
      </w:rPr>
      <w:tab/>
    </w:r>
    <w:r>
      <w:rPr>
        <w:b/>
      </w:rPr>
      <w:tab/>
    </w:r>
  </w:p>
  <w:p w14:paraId="55E646E3" w14:textId="2720477F" w:rsidR="009C42B8" w:rsidRDefault="00E24F93" w:rsidP="009C42B8">
    <w:pPr>
      <w:pStyle w:val="Pis"/>
      <w:rPr>
        <w:i/>
        <w:iCs/>
      </w:rPr>
    </w:pPr>
    <w:r>
      <w:rPr>
        <w:i/>
      </w:rPr>
      <w:t>Nõmme-Mustamäe MKA treppide</w:t>
    </w:r>
    <w:r w:rsidR="009C42B8">
      <w:rPr>
        <w:i/>
      </w:rPr>
      <w:t xml:space="preserve"> </w:t>
    </w:r>
    <w:r w:rsidR="009C42B8">
      <w:rPr>
        <w:rStyle w:val="Lehekljenumber"/>
        <w:i/>
        <w:iCs/>
      </w:rPr>
      <w:t>rekonstrueerimistöödele</w:t>
    </w:r>
    <w:r w:rsidR="009C42B8">
      <w:rPr>
        <w:i/>
        <w:iCs/>
      </w:rPr>
      <w:t xml:space="preserve"> omanikujärelevalve teenuse tellimine </w:t>
    </w:r>
  </w:p>
  <w:p w14:paraId="2C375F14" w14:textId="7B9DC484" w:rsidR="006D4E3B" w:rsidRDefault="002B23A2" w:rsidP="00A77191">
    <w:pPr>
      <w:pStyle w:val="Pis"/>
      <w:spacing w:after="120"/>
      <w:rPr>
        <w:rStyle w:val="Lehekljenumber"/>
        <w:i/>
        <w:iCs/>
      </w:rPr>
    </w:pPr>
    <w:r>
      <w:rPr>
        <w:rStyle w:val="Lehekljenumber"/>
        <w:i/>
        <w:iCs/>
      </w:rPr>
      <w:t xml:space="preserve"> </w:t>
    </w:r>
    <w:r w:rsidRPr="002B23A2">
      <w:rPr>
        <w:rStyle w:val="Lehekljenumber"/>
        <w:i/>
        <w:iCs/>
      </w:rPr>
      <w:t xml:space="preserve"> </w:t>
    </w:r>
    <w:r w:rsidR="00325C7A">
      <w:rPr>
        <w:noProof/>
        <w:lang w:eastAsia="et-EE"/>
      </w:rPr>
      <w:drawing>
        <wp:inline distT="0" distB="0" distL="0" distR="0" wp14:anchorId="39B9A2BC" wp14:editId="21A4E502">
          <wp:extent cx="1706880" cy="90424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p w14:paraId="6E88E719" w14:textId="77777777" w:rsidR="00A77191" w:rsidRPr="00A93D25" w:rsidRDefault="00A77191" w:rsidP="00997FE3">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093C85"/>
    <w:multiLevelType w:val="multilevel"/>
    <w:tmpl w:val="01C086D6"/>
    <w:lvl w:ilvl="0">
      <w:start w:val="4"/>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3"/>
  </w:num>
  <w:num w:numId="11">
    <w:abstractNumId w:val="11"/>
  </w:num>
  <w:num w:numId="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DFF"/>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54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3C67"/>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095E"/>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3C30"/>
    <w:rsid w:val="00A75C8C"/>
    <w:rsid w:val="00A75F0B"/>
    <w:rsid w:val="00A75F80"/>
    <w:rsid w:val="00A76CA5"/>
    <w:rsid w:val="00A76DA3"/>
    <w:rsid w:val="00A77191"/>
    <w:rsid w:val="00A77249"/>
    <w:rsid w:val="00A82D12"/>
    <w:rsid w:val="00A9096F"/>
    <w:rsid w:val="00A91140"/>
    <w:rsid w:val="00A91381"/>
    <w:rsid w:val="00A93D25"/>
    <w:rsid w:val="00A951E3"/>
    <w:rsid w:val="00AA0838"/>
    <w:rsid w:val="00AA3E3D"/>
    <w:rsid w:val="00AA4088"/>
    <w:rsid w:val="00AA4880"/>
    <w:rsid w:val="00AA68D3"/>
    <w:rsid w:val="00AB1EB9"/>
    <w:rsid w:val="00AB281F"/>
    <w:rsid w:val="00AB30C7"/>
    <w:rsid w:val="00AB36CC"/>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1CDE"/>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4704F"/>
    <w:rsid w:val="00C52B3F"/>
    <w:rsid w:val="00C56C2B"/>
    <w:rsid w:val="00C574ED"/>
    <w:rsid w:val="00C57C86"/>
    <w:rsid w:val="00C61658"/>
    <w:rsid w:val="00C61711"/>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4F93"/>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iigihanked.riik.ee/rhr-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0E1A2-CCDB-4C12-B9EA-FC1CD43B5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1276</Words>
  <Characters>7406</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8665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2018-05-02T12:10:00Z</cp:lastPrinted>
  <dcterms:created xsi:type="dcterms:W3CDTF">2023-08-08T07:14:00Z</dcterms:created>
  <dcterms:modified xsi:type="dcterms:W3CDTF">2023-08-09T08:00:00Z</dcterms:modified>
</cp:coreProperties>
</file>